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74AF0" w14:textId="57CED62A" w:rsidR="00943613" w:rsidRPr="00943613" w:rsidRDefault="00943613" w:rsidP="00943613">
      <w:pPr>
        <w:rPr>
          <w:b/>
          <w:bCs/>
          <w:lang w:val="en-US"/>
        </w:rPr>
      </w:pPr>
      <w:r w:rsidRPr="00943613">
        <w:rPr>
          <w:b/>
          <w:bCs/>
          <w:lang w:val="en-US"/>
        </w:rPr>
        <w:t xml:space="preserve">Executive Summary: Key Insights from Institutional Investor Roundtables on </w:t>
      </w:r>
      <w:proofErr w:type="spellStart"/>
      <w:r w:rsidRPr="00943613">
        <w:rPr>
          <w:b/>
          <w:bCs/>
          <w:lang w:val="en-US"/>
        </w:rPr>
        <w:t>Defence</w:t>
      </w:r>
      <w:proofErr w:type="spellEnd"/>
      <w:r w:rsidRPr="00943613">
        <w:rPr>
          <w:b/>
          <w:bCs/>
          <w:lang w:val="en-US"/>
        </w:rPr>
        <w:t xml:space="preserve"> &amp; Responsible Investment</w:t>
      </w:r>
      <w:r>
        <w:rPr>
          <w:b/>
          <w:bCs/>
          <w:lang w:val="en-US"/>
        </w:rPr>
        <w:t xml:space="preserve"> in North America</w:t>
      </w:r>
    </w:p>
    <w:p w14:paraId="24C2AD8F" w14:textId="77777777" w:rsidR="00943613" w:rsidRPr="00943613" w:rsidRDefault="00943613" w:rsidP="00943613">
      <w:pPr>
        <w:rPr>
          <w:lang w:val="en-US"/>
        </w:rPr>
      </w:pPr>
      <w:r w:rsidRPr="00943613">
        <w:rPr>
          <w:lang w:val="en-US"/>
        </w:rPr>
        <w:t xml:space="preserve">Over the past week, we hosted closed-door roundtable sessions under the </w:t>
      </w:r>
      <w:r w:rsidRPr="00943613">
        <w:rPr>
          <w:b/>
          <w:bCs/>
          <w:lang w:val="en-US"/>
        </w:rPr>
        <w:t>Chatham House Rule</w:t>
      </w:r>
      <w:r w:rsidRPr="00943613">
        <w:rPr>
          <w:lang w:val="en-US"/>
        </w:rPr>
        <w:t xml:space="preserve"> with senior responsible investment and stewardship leaders from North American institutional asset owners and managers. </w:t>
      </w:r>
    </w:p>
    <w:p w14:paraId="5B890EA7" w14:textId="77777777" w:rsidR="00943613" w:rsidRPr="00943613" w:rsidRDefault="00943613" w:rsidP="00943613">
      <w:pPr>
        <w:rPr>
          <w:lang w:val="en-US"/>
        </w:rPr>
      </w:pPr>
      <w:r w:rsidRPr="00943613">
        <w:rPr>
          <w:lang w:val="en-US"/>
        </w:rPr>
        <w:t xml:space="preserve">As global security dynamics shift and NATO targets drive increased capital allocation toward national resilience, investors face growing complexity at the intersection of fiduciary duty, human rights due diligence, and portfolio construction. </w:t>
      </w:r>
    </w:p>
    <w:p w14:paraId="3404165A" w14:textId="77777777" w:rsidR="00943613" w:rsidRPr="00943613" w:rsidRDefault="00943613" w:rsidP="00943613">
      <w:pPr>
        <w:rPr>
          <w:lang w:val="en-US"/>
        </w:rPr>
      </w:pPr>
      <w:r w:rsidRPr="00943613">
        <w:rPr>
          <w:lang w:val="en-US"/>
        </w:rPr>
        <w:t>Below are four overarching takeaways from the discussions:</w:t>
      </w:r>
    </w:p>
    <w:p w14:paraId="1BDA53F0" w14:textId="77777777" w:rsidR="00943613" w:rsidRPr="00943613" w:rsidRDefault="00943613" w:rsidP="00943613">
      <w:pPr>
        <w:rPr>
          <w:b/>
          <w:bCs/>
          <w:lang w:val="en-US"/>
        </w:rPr>
      </w:pPr>
      <w:r w:rsidRPr="00943613">
        <w:rPr>
          <w:b/>
          <w:bCs/>
          <w:lang w:val="en-US"/>
        </w:rPr>
        <w:t xml:space="preserve">1. </w:t>
      </w:r>
      <w:proofErr w:type="gramStart"/>
      <w:r w:rsidRPr="00943613">
        <w:rPr>
          <w:b/>
          <w:bCs/>
          <w:lang w:val="en-US"/>
        </w:rPr>
        <w:t>The Fiduciary</w:t>
      </w:r>
      <w:proofErr w:type="gramEnd"/>
      <w:r w:rsidRPr="00943613">
        <w:rPr>
          <w:b/>
          <w:bCs/>
          <w:lang w:val="en-US"/>
        </w:rPr>
        <w:t xml:space="preserve"> Framing &amp; The Limits of Traditional Screening</w:t>
      </w:r>
    </w:p>
    <w:p w14:paraId="21D2DE7A" w14:textId="77777777" w:rsidR="00943613" w:rsidRPr="00943613" w:rsidRDefault="00943613" w:rsidP="00943613">
      <w:pPr>
        <w:numPr>
          <w:ilvl w:val="0"/>
          <w:numId w:val="1"/>
        </w:numPr>
        <w:rPr>
          <w:lang w:val="en-US"/>
        </w:rPr>
      </w:pPr>
      <w:r w:rsidRPr="00943613">
        <w:rPr>
          <w:b/>
          <w:bCs/>
          <w:lang w:val="en-US"/>
        </w:rPr>
        <w:t>Legislation as a Baseline:</w:t>
      </w:r>
      <w:r w:rsidRPr="00943613">
        <w:rPr>
          <w:lang w:val="en-US"/>
        </w:rPr>
        <w:t xml:space="preserve"> Most institutional portfolios enforce strict, baseline exclusions tied to international treaties ratified by national governments (e.g., cluster munitions, anti-personnel landmines, biological/chemical weapons). </w:t>
      </w:r>
    </w:p>
    <w:p w14:paraId="31ADC251" w14:textId="77777777" w:rsidR="00943613" w:rsidRPr="00943613" w:rsidRDefault="00943613" w:rsidP="00943613">
      <w:pPr>
        <w:numPr>
          <w:ilvl w:val="0"/>
          <w:numId w:val="1"/>
        </w:numPr>
        <w:rPr>
          <w:lang w:val="en-US"/>
        </w:rPr>
      </w:pPr>
      <w:r w:rsidRPr="00943613">
        <w:rPr>
          <w:b/>
          <w:bCs/>
          <w:lang w:val="en-US"/>
        </w:rPr>
        <w:t>Fiduciary Mandate vs. Ethical Preferences:</w:t>
      </w:r>
      <w:r w:rsidRPr="00943613">
        <w:rPr>
          <w:lang w:val="en-US"/>
        </w:rPr>
        <w:t xml:space="preserve"> Asset owners emphasized that investment decisions must remain strictly grounded in long-term financial risk and return rather than moral or ethical preferences. </w:t>
      </w:r>
    </w:p>
    <w:p w14:paraId="720468A7" w14:textId="77777777" w:rsidR="00943613" w:rsidRPr="00943613" w:rsidRDefault="00943613" w:rsidP="00943613">
      <w:pPr>
        <w:numPr>
          <w:ilvl w:val="0"/>
          <w:numId w:val="1"/>
        </w:numPr>
        <w:rPr>
          <w:lang w:val="en-US"/>
        </w:rPr>
      </w:pPr>
      <w:r w:rsidRPr="00943613">
        <w:rPr>
          <w:b/>
          <w:bCs/>
          <w:lang w:val="en-US"/>
        </w:rPr>
        <w:t>The "Controversial" Terminology Debate:</w:t>
      </w:r>
      <w:r w:rsidRPr="00943613">
        <w:rPr>
          <w:lang w:val="en-US"/>
        </w:rPr>
        <w:t xml:space="preserve"> Several participants noted a shift away from vague terms like "controversial weapons," preferring criteria anchored explicitly in international law, indiscriminate harm, and severe adverse impacts. </w:t>
      </w:r>
    </w:p>
    <w:p w14:paraId="2E2FB698" w14:textId="77777777" w:rsidR="00943613" w:rsidRPr="00943613" w:rsidRDefault="00943613" w:rsidP="00943613">
      <w:pPr>
        <w:rPr>
          <w:b/>
          <w:bCs/>
          <w:lang w:val="en-US"/>
        </w:rPr>
      </w:pPr>
      <w:r w:rsidRPr="00943613">
        <w:rPr>
          <w:b/>
          <w:bCs/>
          <w:lang w:val="en-US"/>
        </w:rPr>
        <w:t>2. "Dual-Use" Tech &amp; The Blur of Sector Boundaries</w:t>
      </w:r>
    </w:p>
    <w:p w14:paraId="777CBCA8" w14:textId="77777777" w:rsidR="00943613" w:rsidRPr="00943613" w:rsidRDefault="00943613" w:rsidP="00943613">
      <w:pPr>
        <w:numPr>
          <w:ilvl w:val="0"/>
          <w:numId w:val="2"/>
        </w:numPr>
        <w:rPr>
          <w:lang w:val="en-US"/>
        </w:rPr>
      </w:pPr>
      <w:r w:rsidRPr="00943613">
        <w:rPr>
          <w:b/>
          <w:bCs/>
          <w:lang w:val="en-US"/>
        </w:rPr>
        <w:t>Revisiting Old Frameworks:</w:t>
      </w:r>
      <w:r w:rsidRPr="00943613">
        <w:rPr>
          <w:lang w:val="en-US"/>
        </w:rPr>
        <w:t xml:space="preserve"> Traditional screening methodologies designed for aerospace and defense legacy names are no longer sufficient. </w:t>
      </w:r>
    </w:p>
    <w:p w14:paraId="075E7843" w14:textId="77777777" w:rsidR="00943613" w:rsidRPr="00943613" w:rsidRDefault="00943613" w:rsidP="00943613">
      <w:pPr>
        <w:numPr>
          <w:ilvl w:val="0"/>
          <w:numId w:val="2"/>
        </w:numPr>
        <w:rPr>
          <w:lang w:val="en-US"/>
        </w:rPr>
      </w:pPr>
      <w:r w:rsidRPr="00943613">
        <w:rPr>
          <w:b/>
          <w:bCs/>
          <w:lang w:val="en-US"/>
        </w:rPr>
        <w:t>Spillover into Big Tech &amp; Industrials:</w:t>
      </w:r>
      <w:r w:rsidRPr="00943613">
        <w:rPr>
          <w:lang w:val="en-US"/>
        </w:rPr>
        <w:t xml:space="preserve"> Major technology, </w:t>
      </w:r>
      <w:proofErr w:type="gramStart"/>
      <w:r w:rsidRPr="00943613">
        <w:rPr>
          <w:lang w:val="en-US"/>
        </w:rPr>
        <w:t>semiconductor</w:t>
      </w:r>
      <w:proofErr w:type="gramEnd"/>
      <w:r w:rsidRPr="00943613">
        <w:rPr>
          <w:lang w:val="en-US"/>
        </w:rPr>
        <w:t xml:space="preserve">, cloud, satellite, and industrial equipment providers are increasingly taking on defense contracts or producing dual-use applications (e.g., AI integration, autonomous systems, surveillance). </w:t>
      </w:r>
    </w:p>
    <w:p w14:paraId="4E38664D" w14:textId="77777777" w:rsidR="00943613" w:rsidRPr="00943613" w:rsidRDefault="00943613" w:rsidP="00943613">
      <w:pPr>
        <w:numPr>
          <w:ilvl w:val="0"/>
          <w:numId w:val="2"/>
        </w:numPr>
        <w:rPr>
          <w:lang w:val="en-US"/>
        </w:rPr>
      </w:pPr>
      <w:r w:rsidRPr="00943613">
        <w:rPr>
          <w:b/>
          <w:bCs/>
          <w:lang w:val="en-US"/>
        </w:rPr>
        <w:t>Engagement Over Blanket Divestment:</w:t>
      </w:r>
      <w:r w:rsidRPr="00943613">
        <w:rPr>
          <w:lang w:val="en-US"/>
        </w:rPr>
        <w:t xml:space="preserve"> Rather than blanket exclusions for large-cap tech companies with dual-use exposure, investors are leaning heavily into shareholder engagement, proxy voting, and demanding heightened end-use monitoring and human rights due diligence (HRDD). </w:t>
      </w:r>
    </w:p>
    <w:p w14:paraId="64B96825" w14:textId="77777777" w:rsidR="00943613" w:rsidRPr="00943613" w:rsidRDefault="00943613" w:rsidP="00943613">
      <w:pPr>
        <w:rPr>
          <w:b/>
          <w:bCs/>
          <w:lang w:val="en-US"/>
        </w:rPr>
      </w:pPr>
      <w:r w:rsidRPr="00943613">
        <w:rPr>
          <w:b/>
          <w:bCs/>
          <w:lang w:val="en-US"/>
        </w:rPr>
        <w:t>3. Human Rights Due Diligence &amp; The Data Gap</w:t>
      </w:r>
    </w:p>
    <w:p w14:paraId="37DD3AEB" w14:textId="77777777" w:rsidR="00943613" w:rsidRPr="00943613" w:rsidRDefault="00943613" w:rsidP="00943613">
      <w:pPr>
        <w:numPr>
          <w:ilvl w:val="0"/>
          <w:numId w:val="3"/>
        </w:numPr>
        <w:rPr>
          <w:lang w:val="en-US"/>
        </w:rPr>
      </w:pPr>
      <w:r w:rsidRPr="00943613">
        <w:rPr>
          <w:b/>
          <w:bCs/>
          <w:lang w:val="en-US"/>
        </w:rPr>
        <w:t>Lack of Granular Data:</w:t>
      </w:r>
      <w:r w:rsidRPr="00943613">
        <w:rPr>
          <w:lang w:val="en-US"/>
        </w:rPr>
        <w:t xml:space="preserve"> A primary operational bottleneck is the absence of high-quality, standardized data linking defense exposures to financial materiality. </w:t>
      </w:r>
    </w:p>
    <w:p w14:paraId="3D2A1D4B" w14:textId="77777777" w:rsidR="00943613" w:rsidRPr="00943613" w:rsidRDefault="00943613" w:rsidP="00943613">
      <w:pPr>
        <w:numPr>
          <w:ilvl w:val="0"/>
          <w:numId w:val="3"/>
        </w:numPr>
        <w:rPr>
          <w:lang w:val="en-US"/>
        </w:rPr>
      </w:pPr>
      <w:r w:rsidRPr="00943613">
        <w:rPr>
          <w:b/>
          <w:bCs/>
          <w:lang w:val="en-US"/>
        </w:rPr>
        <w:lastRenderedPageBreak/>
        <w:t>Heightened HRDD in High-Risk Areas:</w:t>
      </w:r>
      <w:r w:rsidRPr="00943613">
        <w:rPr>
          <w:lang w:val="en-US"/>
        </w:rPr>
        <w:t xml:space="preserve"> Investors are increasingly evaluating portfolio risks through a </w:t>
      </w:r>
      <w:r w:rsidRPr="00943613">
        <w:rPr>
          <w:b/>
          <w:bCs/>
          <w:lang w:val="en-US"/>
        </w:rPr>
        <w:t>conflict-affected and high-risk area (CAHRA)</w:t>
      </w:r>
      <w:r w:rsidRPr="00943613">
        <w:rPr>
          <w:lang w:val="en-US"/>
        </w:rPr>
        <w:t xml:space="preserve"> lens, examining how products down the value chain might contribute to human rights violations or reputational damage. </w:t>
      </w:r>
    </w:p>
    <w:p w14:paraId="13B28A82" w14:textId="77777777" w:rsidR="00943613" w:rsidRPr="00943613" w:rsidRDefault="00943613" w:rsidP="00943613">
      <w:pPr>
        <w:numPr>
          <w:ilvl w:val="0"/>
          <w:numId w:val="3"/>
        </w:numPr>
        <w:rPr>
          <w:lang w:val="en-US"/>
        </w:rPr>
      </w:pPr>
      <w:r w:rsidRPr="00943613">
        <w:rPr>
          <w:b/>
          <w:bCs/>
          <w:lang w:val="en-US"/>
        </w:rPr>
        <w:t>Evolving Board Oversight:</w:t>
      </w:r>
      <w:r w:rsidRPr="00943613">
        <w:rPr>
          <w:lang w:val="en-US"/>
        </w:rPr>
        <w:t xml:space="preserve"> Expectation is growing for corporate boards (especially risk committees) to provide clearer disclosures around end-use screening, customer vetting, and ethical governance of emerging defense technologies. </w:t>
      </w:r>
    </w:p>
    <w:p w14:paraId="437862E9" w14:textId="77777777" w:rsidR="00943613" w:rsidRPr="00943613" w:rsidRDefault="00943613" w:rsidP="00943613">
      <w:pPr>
        <w:rPr>
          <w:b/>
          <w:bCs/>
          <w:lang w:val="en-US"/>
        </w:rPr>
      </w:pPr>
      <w:r w:rsidRPr="00943613">
        <w:rPr>
          <w:b/>
          <w:bCs/>
          <w:lang w:val="en-US"/>
        </w:rPr>
        <w:t xml:space="preserve">4. </w:t>
      </w:r>
      <w:proofErr w:type="gramStart"/>
      <w:r w:rsidRPr="00943613">
        <w:rPr>
          <w:b/>
          <w:bCs/>
          <w:lang w:val="en-US"/>
        </w:rPr>
        <w:t>Implementation</w:t>
      </w:r>
      <w:proofErr w:type="gramEnd"/>
      <w:r w:rsidRPr="00943613">
        <w:rPr>
          <w:b/>
          <w:bCs/>
          <w:lang w:val="en-US"/>
        </w:rPr>
        <w:t xml:space="preserve"> Realities with External Managers &amp; Active Funds</w:t>
      </w:r>
    </w:p>
    <w:p w14:paraId="7C775BA2" w14:textId="77777777" w:rsidR="00943613" w:rsidRPr="00943613" w:rsidRDefault="00943613" w:rsidP="00943613">
      <w:pPr>
        <w:numPr>
          <w:ilvl w:val="0"/>
          <w:numId w:val="4"/>
        </w:numPr>
        <w:rPr>
          <w:lang w:val="en-US"/>
        </w:rPr>
      </w:pPr>
      <w:r w:rsidRPr="00943613">
        <w:rPr>
          <w:b/>
          <w:bCs/>
          <w:lang w:val="en-US"/>
        </w:rPr>
        <w:t>Portfolio Friction:</w:t>
      </w:r>
      <w:r w:rsidRPr="00943613">
        <w:rPr>
          <w:lang w:val="en-US"/>
        </w:rPr>
        <w:t xml:space="preserve"> Integrating bespoke defense or human rights frameworks into active management can create friction around idea velocity and opportunity set restrictions. </w:t>
      </w:r>
    </w:p>
    <w:p w14:paraId="0A0351A3" w14:textId="77777777" w:rsidR="00943613" w:rsidRPr="00943613" w:rsidRDefault="00943613" w:rsidP="00943613">
      <w:pPr>
        <w:numPr>
          <w:ilvl w:val="0"/>
          <w:numId w:val="4"/>
        </w:numPr>
        <w:rPr>
          <w:lang w:val="en-US"/>
        </w:rPr>
      </w:pPr>
      <w:r w:rsidRPr="00943613">
        <w:rPr>
          <w:b/>
          <w:bCs/>
          <w:lang w:val="en-US"/>
        </w:rPr>
        <w:t>Collaborative Stewardship:</w:t>
      </w:r>
      <w:r w:rsidRPr="00943613">
        <w:rPr>
          <w:lang w:val="en-US"/>
        </w:rPr>
        <w:t xml:space="preserve"> Asset allocators using external asset managers are focusing on monitoring, dialogue, and supporting stewardship teams to ensure proxy voting and engagement align with long-term risk management. </w:t>
      </w:r>
    </w:p>
    <w:p w14:paraId="3C5F9063" w14:textId="77777777" w:rsidR="00943613" w:rsidRPr="00943613" w:rsidRDefault="00943613" w:rsidP="00943613">
      <w:pPr>
        <w:rPr>
          <w:b/>
          <w:bCs/>
          <w:lang w:val="en-US"/>
        </w:rPr>
      </w:pPr>
      <w:r w:rsidRPr="00943613">
        <w:rPr>
          <w:rFonts w:ascii="Segoe UI Emoji" w:hAnsi="Segoe UI Emoji" w:cs="Segoe UI Emoji"/>
          <w:b/>
          <w:bCs/>
        </w:rPr>
        <w:t>💡</w:t>
      </w:r>
      <w:r w:rsidRPr="00943613">
        <w:rPr>
          <w:b/>
          <w:bCs/>
          <w:lang w:val="en-US"/>
        </w:rPr>
        <w:t xml:space="preserve"> Looking Ahead</w:t>
      </w:r>
    </w:p>
    <w:p w14:paraId="39330C51" w14:textId="77777777" w:rsidR="00943613" w:rsidRPr="00943613" w:rsidRDefault="00943613" w:rsidP="00943613">
      <w:pPr>
        <w:rPr>
          <w:lang w:val="en-US"/>
        </w:rPr>
      </w:pPr>
      <w:r w:rsidRPr="00943613">
        <w:rPr>
          <w:lang w:val="en-US"/>
        </w:rPr>
        <w:t xml:space="preserve">Navigating the evolving defense sector requires moving past binary "in or out" binaries toward nuanced, risk-aware governance. Through initiatives like the </w:t>
      </w:r>
      <w:r w:rsidRPr="00943613">
        <w:rPr>
          <w:b/>
          <w:bCs/>
          <w:lang w:val="en-US"/>
        </w:rPr>
        <w:t xml:space="preserve">Guidance for Responsible Investment in </w:t>
      </w:r>
      <w:proofErr w:type="spellStart"/>
      <w:r w:rsidRPr="00943613">
        <w:rPr>
          <w:b/>
          <w:bCs/>
          <w:lang w:val="en-US"/>
        </w:rPr>
        <w:t>Defence</w:t>
      </w:r>
      <w:proofErr w:type="spellEnd"/>
      <w:r w:rsidRPr="00943613">
        <w:rPr>
          <w:b/>
          <w:bCs/>
          <w:lang w:val="en-US"/>
        </w:rPr>
        <w:t xml:space="preserve"> (GRID)</w:t>
      </w:r>
      <w:r w:rsidRPr="00943613">
        <w:rPr>
          <w:lang w:val="en-US"/>
        </w:rPr>
        <w:t xml:space="preserve">, we look forward to continuing these practical, candid peer exchanges to help investors bridge the gap between regulatory expectations, systemic risks, and fiduciary responsibilities. </w:t>
      </w:r>
    </w:p>
    <w:p w14:paraId="766C5DE8" w14:textId="77777777" w:rsidR="00943613" w:rsidRPr="00943613" w:rsidRDefault="00943613" w:rsidP="00943613">
      <w:pPr>
        <w:rPr>
          <w:lang w:val="en-US"/>
        </w:rPr>
      </w:pPr>
      <w:r w:rsidRPr="00943613">
        <w:rPr>
          <w:lang w:val="en-US"/>
        </w:rPr>
        <w:t>#ResponsibleInvestment #InstitutionalInvestors #Stewardship #FiduciaryDuty #DefenceInvesting #DualUseTech #ESG #ESGData</w:t>
      </w:r>
    </w:p>
    <w:p w14:paraId="4BB69086" w14:textId="77777777" w:rsidR="0065333D" w:rsidRPr="00943613" w:rsidRDefault="0065333D">
      <w:pPr>
        <w:rPr>
          <w:lang w:val="en-US"/>
        </w:rPr>
      </w:pPr>
    </w:p>
    <w:sectPr w:rsidR="0065333D" w:rsidRPr="0094361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836CD"/>
    <w:multiLevelType w:val="multilevel"/>
    <w:tmpl w:val="0BB0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C1513"/>
    <w:multiLevelType w:val="multilevel"/>
    <w:tmpl w:val="4926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80F8B"/>
    <w:multiLevelType w:val="multilevel"/>
    <w:tmpl w:val="0C64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4B68AF"/>
    <w:multiLevelType w:val="multilevel"/>
    <w:tmpl w:val="95A2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3858149">
    <w:abstractNumId w:val="0"/>
  </w:num>
  <w:num w:numId="2" w16cid:durableId="1868323359">
    <w:abstractNumId w:val="1"/>
  </w:num>
  <w:num w:numId="3" w16cid:durableId="1240138493">
    <w:abstractNumId w:val="2"/>
  </w:num>
  <w:num w:numId="4" w16cid:durableId="652871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13"/>
    <w:rsid w:val="001620AD"/>
    <w:rsid w:val="0065333D"/>
    <w:rsid w:val="00943613"/>
    <w:rsid w:val="00A7201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FEE0A"/>
  <w15:chartTrackingRefBased/>
  <w15:docId w15:val="{155FC06F-2C0E-43DA-902D-EA39E0AE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9436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9436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943613"/>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943613"/>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943613"/>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94361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94361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94361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94361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943613"/>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943613"/>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943613"/>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943613"/>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943613"/>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94361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94361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94361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943613"/>
    <w:rPr>
      <w:rFonts w:eastAsiaTheme="majorEastAsia" w:cstheme="majorBidi"/>
      <w:color w:val="272727" w:themeColor="text1" w:themeTint="D8"/>
    </w:rPr>
  </w:style>
  <w:style w:type="paragraph" w:styleId="Otsikko">
    <w:name w:val="Title"/>
    <w:basedOn w:val="Normaali"/>
    <w:next w:val="Normaali"/>
    <w:link w:val="OtsikkoChar"/>
    <w:uiPriority w:val="10"/>
    <w:qFormat/>
    <w:rsid w:val="009436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94361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94361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94361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94361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943613"/>
    <w:rPr>
      <w:i/>
      <w:iCs/>
      <w:color w:val="404040" w:themeColor="text1" w:themeTint="BF"/>
    </w:rPr>
  </w:style>
  <w:style w:type="paragraph" w:styleId="Luettelokappale">
    <w:name w:val="List Paragraph"/>
    <w:basedOn w:val="Normaali"/>
    <w:uiPriority w:val="34"/>
    <w:qFormat/>
    <w:rsid w:val="00943613"/>
    <w:pPr>
      <w:ind w:left="720"/>
      <w:contextualSpacing/>
    </w:pPr>
  </w:style>
  <w:style w:type="character" w:styleId="Voimakaskorostus">
    <w:name w:val="Intense Emphasis"/>
    <w:basedOn w:val="Kappaleenoletusfontti"/>
    <w:uiPriority w:val="21"/>
    <w:qFormat/>
    <w:rsid w:val="00943613"/>
    <w:rPr>
      <w:i/>
      <w:iCs/>
      <w:color w:val="0F4761" w:themeColor="accent1" w:themeShade="BF"/>
    </w:rPr>
  </w:style>
  <w:style w:type="paragraph" w:styleId="Erottuvalainaus">
    <w:name w:val="Intense Quote"/>
    <w:basedOn w:val="Normaali"/>
    <w:next w:val="Normaali"/>
    <w:link w:val="ErottuvalainausChar"/>
    <w:uiPriority w:val="30"/>
    <w:qFormat/>
    <w:rsid w:val="009436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943613"/>
    <w:rPr>
      <w:i/>
      <w:iCs/>
      <w:color w:val="0F4761" w:themeColor="accent1" w:themeShade="BF"/>
    </w:rPr>
  </w:style>
  <w:style w:type="character" w:styleId="Erottuvaviittaus">
    <w:name w:val="Intense Reference"/>
    <w:basedOn w:val="Kappaleenoletusfontti"/>
    <w:uiPriority w:val="32"/>
    <w:qFormat/>
    <w:rsid w:val="009436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418</Words>
  <Characters>3394</Characters>
  <Application>Microsoft Office Word</Application>
  <DocSecurity>0</DocSecurity>
  <Lines>28</Lines>
  <Paragraphs>7</Paragraphs>
  <ScaleCrop>false</ScaleCrop>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Anna-Stina Wiklund</dc:creator>
  <cp:keywords/>
  <dc:description/>
  <cp:lastModifiedBy>Anna-Stina Wiklund</cp:lastModifiedBy>
  <cp:revision>1</cp:revision>
  <dcterms:created xsi:type="dcterms:W3CDTF">2026-07-31T03:21:00Z</dcterms:created>
  <dcterms:modified xsi:type="dcterms:W3CDTF">2026-07-31T03:22:00Z</dcterms:modified>
</cp:coreProperties>
</file>