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6233BC" w14:textId="77777777" w:rsidR="00E254FD" w:rsidRPr="00E254FD" w:rsidRDefault="00E254FD" w:rsidP="00E254FD">
      <w:pPr>
        <w:rPr>
          <w:b/>
          <w:bCs/>
          <w:lang w:val="en-US"/>
        </w:rPr>
      </w:pPr>
      <w:r w:rsidRPr="00E254FD">
        <w:rPr>
          <w:b/>
          <w:bCs/>
          <w:lang w:val="en-US"/>
        </w:rPr>
        <w:t>Discussion Paper: Investor Expectations in the Defence Sector</w:t>
      </w:r>
    </w:p>
    <w:p w14:paraId="38676F64" w14:textId="77777777" w:rsidR="00E254FD" w:rsidRPr="00E254FD" w:rsidRDefault="00E254FD" w:rsidP="00E254FD">
      <w:pPr>
        <w:rPr>
          <w:lang w:val="en-US"/>
        </w:rPr>
      </w:pPr>
      <w:r w:rsidRPr="00E254FD">
        <w:rPr>
          <w:b/>
          <w:bCs/>
          <w:lang w:val="en-US"/>
        </w:rPr>
        <w:t>Synthesizing Insights from the GAA Roundtable Series</w:t>
      </w:r>
    </w:p>
    <w:p w14:paraId="73291CBA" w14:textId="77777777" w:rsidR="00E254FD" w:rsidRPr="00E254FD" w:rsidRDefault="00E254FD" w:rsidP="00E254FD">
      <w:pPr>
        <w:rPr>
          <w:b/>
          <w:bCs/>
          <w:lang w:val="en-US"/>
        </w:rPr>
      </w:pPr>
      <w:r w:rsidRPr="00E254FD">
        <w:rPr>
          <w:b/>
          <w:bCs/>
          <w:lang w:val="en-US"/>
        </w:rPr>
        <w:t>Executive Summary</w:t>
      </w:r>
    </w:p>
    <w:p w14:paraId="0B3FFDC4" w14:textId="77777777" w:rsidR="00E254FD" w:rsidRPr="00E254FD" w:rsidRDefault="00E254FD" w:rsidP="00E254FD">
      <w:pPr>
        <w:rPr>
          <w:lang w:val="en-US"/>
        </w:rPr>
      </w:pPr>
      <w:r w:rsidRPr="00E254FD">
        <w:rPr>
          <w:lang w:val="en-US"/>
        </w:rPr>
        <w:t>For the better part of two decades, the relationship between institutional capital and the defence sector was defined by exclusion. However, since early 2022, a "perfect storm" of geopolitical instability, shifting government mandates, and the explosion of dual-use technology has forced a total re-evaluation of the sector.</w:t>
      </w:r>
    </w:p>
    <w:p w14:paraId="30F6F4C9" w14:textId="77777777" w:rsidR="00E254FD" w:rsidRPr="00E254FD" w:rsidRDefault="00E254FD" w:rsidP="00E254FD">
      <w:pPr>
        <w:rPr>
          <w:lang w:val="en-US"/>
        </w:rPr>
      </w:pPr>
      <w:r w:rsidRPr="00E254FD">
        <w:rPr>
          <w:lang w:val="en-US"/>
        </w:rPr>
        <w:t>Based on recent roundtables with global asset managers and owners, it is clear that investors are no longer satisfied with binary "in or out" policies. There is an urgent demand for a sophisticated, data-driven framework that allows for responsible investment without compromising fiduciary duty or human rights commitments. This paper outlines the four pillars of emerging investor expectations and the path toward collaborative action.</w:t>
      </w:r>
    </w:p>
    <w:p w14:paraId="0D199FC9" w14:textId="77777777" w:rsidR="00E254FD" w:rsidRPr="00E254FD" w:rsidRDefault="00DA3686" w:rsidP="00E254FD">
      <w:r>
        <w:pict w14:anchorId="63D0501A">
          <v:rect id="_x0000_i1025" style="width:0;height:1.5pt" o:hralign="center" o:hrstd="t" o:hrnoshade="t" o:hr="t" fillcolor="gray" stroked="f"/>
        </w:pict>
      </w:r>
    </w:p>
    <w:p w14:paraId="2B13908D" w14:textId="77777777" w:rsidR="00E254FD" w:rsidRPr="00E254FD" w:rsidRDefault="00E254FD" w:rsidP="00E254FD">
      <w:pPr>
        <w:rPr>
          <w:b/>
          <w:bCs/>
          <w:lang w:val="en-US"/>
        </w:rPr>
      </w:pPr>
      <w:r w:rsidRPr="00E254FD">
        <w:rPr>
          <w:b/>
          <w:bCs/>
          <w:lang w:val="en-US"/>
        </w:rPr>
        <w:t>1. The Geopolitical &amp; Regulatory "Squeeze"</w:t>
      </w:r>
    </w:p>
    <w:p w14:paraId="289D4359" w14:textId="77777777" w:rsidR="00E254FD" w:rsidRPr="00E254FD" w:rsidRDefault="00E254FD" w:rsidP="00E254FD">
      <w:pPr>
        <w:rPr>
          <w:lang w:val="en-US"/>
        </w:rPr>
      </w:pPr>
      <w:r w:rsidRPr="00E254FD">
        <w:rPr>
          <w:lang w:val="en-US"/>
        </w:rPr>
        <w:t>The conversation has moved from a philosophical debate to a regulatory necessity. In Europe and the Nordics, investors are navigating a complex "squeeze":</w:t>
      </w:r>
    </w:p>
    <w:p w14:paraId="342D63CE" w14:textId="77777777" w:rsidR="00E254FD" w:rsidRPr="00E254FD" w:rsidRDefault="00E254FD" w:rsidP="00E254FD">
      <w:pPr>
        <w:numPr>
          <w:ilvl w:val="0"/>
          <w:numId w:val="1"/>
        </w:numPr>
        <w:rPr>
          <w:lang w:val="en-US"/>
        </w:rPr>
      </w:pPr>
      <w:r w:rsidRPr="00E254FD">
        <w:rPr>
          <w:b/>
          <w:bCs/>
          <w:lang w:val="en-US"/>
        </w:rPr>
        <w:t>The Political Pull:</w:t>
      </w:r>
      <w:r w:rsidRPr="00E254FD">
        <w:rPr>
          <w:lang w:val="en-US"/>
        </w:rPr>
        <w:t xml:space="preserve"> Governments are increasingly viewing private capital as a strategic partner in national security, pressuring funds to support the domestic defence industrial base.</w:t>
      </w:r>
    </w:p>
    <w:p w14:paraId="4C5AB1B3" w14:textId="77777777" w:rsidR="00E254FD" w:rsidRPr="00E254FD" w:rsidRDefault="00E254FD" w:rsidP="00E254FD">
      <w:pPr>
        <w:numPr>
          <w:ilvl w:val="0"/>
          <w:numId w:val="1"/>
        </w:numPr>
        <w:rPr>
          <w:lang w:val="en-US"/>
        </w:rPr>
      </w:pPr>
      <w:r w:rsidRPr="00E254FD">
        <w:rPr>
          <w:b/>
          <w:bCs/>
          <w:lang w:val="en-US"/>
        </w:rPr>
        <w:t>The Regulatory Push:</w:t>
      </w:r>
      <w:r w:rsidRPr="00E254FD">
        <w:rPr>
          <w:lang w:val="en-US"/>
        </w:rPr>
        <w:t xml:space="preserve"> At the same time, the </w:t>
      </w:r>
      <w:r w:rsidRPr="00E254FD">
        <w:rPr>
          <w:b/>
          <w:bCs/>
          <w:lang w:val="en-US"/>
        </w:rPr>
        <w:t>EU Sustainable Finance Framework (SFDR)</w:t>
      </w:r>
      <w:r w:rsidRPr="00E254FD">
        <w:rPr>
          <w:lang w:val="en-US"/>
        </w:rPr>
        <w:t xml:space="preserve"> and the </w:t>
      </w:r>
      <w:r w:rsidRPr="00E254FD">
        <w:rPr>
          <w:b/>
          <w:bCs/>
          <w:lang w:val="en-US"/>
        </w:rPr>
        <w:t>Corporate Sustainability Due Diligence Directive (CSDDD)</w:t>
      </w:r>
      <w:r w:rsidRPr="00E254FD">
        <w:rPr>
          <w:lang w:val="en-US"/>
        </w:rPr>
        <w:t xml:space="preserve"> have raised the bar for </w:t>
      </w:r>
      <w:r w:rsidRPr="00E254FD">
        <w:rPr>
          <w:b/>
          <w:bCs/>
          <w:lang w:val="en-US"/>
        </w:rPr>
        <w:t>"Do No Significant Harm" (DNSH)</w:t>
      </w:r>
      <w:r w:rsidRPr="00E254FD">
        <w:rPr>
          <w:lang w:val="en-US"/>
        </w:rPr>
        <w:t xml:space="preserve"> assessments.</w:t>
      </w:r>
    </w:p>
    <w:p w14:paraId="4E5FEE07" w14:textId="77777777" w:rsidR="00E254FD" w:rsidRPr="00E254FD" w:rsidRDefault="00E254FD" w:rsidP="00E254FD">
      <w:pPr>
        <w:rPr>
          <w:lang w:val="en-US"/>
        </w:rPr>
      </w:pPr>
      <w:r w:rsidRPr="00E254FD">
        <w:rPr>
          <w:lang w:val="en-US"/>
        </w:rPr>
        <w:t>Investors now face a "compliance vacuum": they are being encouraged to invest in defence, but they lack the granular data required to prove that these investments do not violate human rights or International Humanitarian Law (IHL).</w:t>
      </w:r>
    </w:p>
    <w:p w14:paraId="513B5FC1" w14:textId="77777777" w:rsidR="00E254FD" w:rsidRPr="00E254FD" w:rsidRDefault="00E254FD" w:rsidP="00E254FD">
      <w:pPr>
        <w:rPr>
          <w:b/>
          <w:bCs/>
          <w:lang w:val="en-US"/>
        </w:rPr>
      </w:pPr>
      <w:r w:rsidRPr="00E254FD">
        <w:rPr>
          <w:b/>
          <w:bCs/>
          <w:lang w:val="en-US"/>
        </w:rPr>
        <w:t>2. Piercing the "National Security" Shield</w:t>
      </w:r>
    </w:p>
    <w:p w14:paraId="6DD54774" w14:textId="77777777" w:rsidR="00E254FD" w:rsidRPr="00E254FD" w:rsidRDefault="00E254FD" w:rsidP="00E254FD">
      <w:pPr>
        <w:rPr>
          <w:lang w:val="en-US"/>
        </w:rPr>
      </w:pPr>
      <w:r w:rsidRPr="00E254FD">
        <w:rPr>
          <w:lang w:val="en-US"/>
        </w:rPr>
        <w:t>One of the most consistent frustrations voiced by participants is the "transparency wall." Defence companies frequently treat "National Security" as a universal exemption from ESG disclosure. Investors are now challenging this narrative, arguing that national security and human rights due diligence (HRDD) are not mutually exclusive.</w:t>
      </w:r>
    </w:p>
    <w:p w14:paraId="2A230CE7" w14:textId="77777777" w:rsidR="00E254FD" w:rsidRPr="00E254FD" w:rsidRDefault="00E254FD" w:rsidP="00E254FD">
      <w:r w:rsidRPr="00E254FD">
        <w:rPr>
          <w:b/>
          <w:bCs/>
          <w:lang w:val="en-US"/>
        </w:rPr>
        <w:t>The New Expectation:</w:t>
      </w:r>
      <w:r w:rsidRPr="00E254FD">
        <w:rPr>
          <w:lang w:val="en-US"/>
        </w:rPr>
        <w:t xml:space="preserve"> Shareholders are moving toward a model of demanding disclosure on </w:t>
      </w:r>
      <w:r w:rsidRPr="00E254FD">
        <w:rPr>
          <w:i/>
          <w:iCs/>
          <w:lang w:val="en-US"/>
        </w:rPr>
        <w:t>processes</w:t>
      </w:r>
      <w:r w:rsidRPr="00E254FD">
        <w:rPr>
          <w:lang w:val="en-US"/>
        </w:rPr>
        <w:t xml:space="preserve"> rather than </w:t>
      </w:r>
      <w:r w:rsidRPr="00E254FD">
        <w:rPr>
          <w:i/>
          <w:iCs/>
          <w:lang w:val="en-US"/>
        </w:rPr>
        <w:t>secrets</w:t>
      </w:r>
      <w:r w:rsidRPr="00E254FD">
        <w:rPr>
          <w:lang w:val="en-US"/>
        </w:rPr>
        <w:t xml:space="preserve">. </w:t>
      </w:r>
      <w:r w:rsidRPr="00E254FD">
        <w:t>Investors expect:</w:t>
      </w:r>
    </w:p>
    <w:p w14:paraId="1DB2B2CA" w14:textId="77777777" w:rsidR="00E254FD" w:rsidRPr="00E254FD" w:rsidRDefault="00E254FD" w:rsidP="00E254FD">
      <w:pPr>
        <w:numPr>
          <w:ilvl w:val="0"/>
          <w:numId w:val="2"/>
        </w:numPr>
        <w:rPr>
          <w:lang w:val="en-US"/>
        </w:rPr>
      </w:pPr>
      <w:r w:rsidRPr="00E254FD">
        <w:rPr>
          <w:b/>
          <w:bCs/>
          <w:lang w:val="en-US"/>
        </w:rPr>
        <w:t>Independent Due Diligence:</w:t>
      </w:r>
      <w:r w:rsidRPr="00E254FD">
        <w:rPr>
          <w:lang w:val="en-US"/>
        </w:rPr>
        <w:t xml:space="preserve"> Evidence that companies vet customers and end-use cases beyond merely holding a government-issued export license.</w:t>
      </w:r>
    </w:p>
    <w:p w14:paraId="6B81C40D" w14:textId="77777777" w:rsidR="00E254FD" w:rsidRPr="00E254FD" w:rsidRDefault="00E254FD" w:rsidP="00E254FD">
      <w:pPr>
        <w:numPr>
          <w:ilvl w:val="0"/>
          <w:numId w:val="2"/>
        </w:numPr>
        <w:rPr>
          <w:lang w:val="en-US"/>
        </w:rPr>
      </w:pPr>
      <w:r w:rsidRPr="00E254FD">
        <w:rPr>
          <w:b/>
          <w:bCs/>
          <w:lang w:val="en-US"/>
        </w:rPr>
        <w:lastRenderedPageBreak/>
        <w:t>Downstream Visibility:</w:t>
      </w:r>
      <w:r w:rsidRPr="00E254FD">
        <w:rPr>
          <w:lang w:val="en-US"/>
        </w:rPr>
        <w:t xml:space="preserve"> Better data on how products are monitored once they leave the factory floor.</w:t>
      </w:r>
    </w:p>
    <w:p w14:paraId="6C4B0A4D" w14:textId="77777777" w:rsidR="00E254FD" w:rsidRPr="00E254FD" w:rsidRDefault="00E254FD" w:rsidP="00E254FD">
      <w:pPr>
        <w:numPr>
          <w:ilvl w:val="0"/>
          <w:numId w:val="2"/>
        </w:numPr>
        <w:rPr>
          <w:lang w:val="en-US"/>
        </w:rPr>
      </w:pPr>
      <w:r w:rsidRPr="00E254FD">
        <w:rPr>
          <w:b/>
          <w:bCs/>
          <w:lang w:val="en-US"/>
        </w:rPr>
        <w:t>Conflict-Zone Accountability:</w:t>
      </w:r>
      <w:r w:rsidRPr="00E254FD">
        <w:rPr>
          <w:lang w:val="en-US"/>
        </w:rPr>
        <w:t xml:space="preserve"> Specific reporting on sales to regions where IHL violations have been documented.</w:t>
      </w:r>
    </w:p>
    <w:p w14:paraId="15D71540" w14:textId="77777777" w:rsidR="00E254FD" w:rsidRPr="00E254FD" w:rsidRDefault="00E254FD" w:rsidP="00E254FD">
      <w:pPr>
        <w:rPr>
          <w:b/>
          <w:bCs/>
          <w:lang w:val="en-US"/>
        </w:rPr>
      </w:pPr>
      <w:r w:rsidRPr="00E254FD">
        <w:rPr>
          <w:b/>
          <w:bCs/>
          <w:lang w:val="en-US"/>
        </w:rPr>
        <w:t>3. The Crisis in Data &amp; Infrastructure</w:t>
      </w:r>
    </w:p>
    <w:p w14:paraId="7756F3AA" w14:textId="77777777" w:rsidR="00E254FD" w:rsidRPr="00E254FD" w:rsidRDefault="00E254FD" w:rsidP="00E254FD">
      <w:pPr>
        <w:rPr>
          <w:lang w:val="en-US"/>
        </w:rPr>
      </w:pPr>
      <w:r w:rsidRPr="00E254FD">
        <w:rPr>
          <w:lang w:val="en-US"/>
        </w:rPr>
        <w:t>Current market infrastructure is not fit for purpose. Roundtable participants highlighted a deep distrust in traditional ESG data providers, noting that their methodologies often fail to capture the nuances of modern warfare or the blurring line between "civilian" and "military" AI.</w:t>
      </w:r>
    </w:p>
    <w:p w14:paraId="5DCEC288" w14:textId="77777777" w:rsidR="00E254FD" w:rsidRPr="00E254FD" w:rsidRDefault="00E254FD" w:rsidP="00E254FD">
      <w:pPr>
        <w:rPr>
          <w:lang w:val="en-US"/>
        </w:rPr>
      </w:pPr>
      <w:r w:rsidRPr="00E254FD">
        <w:rPr>
          <w:lang w:val="en-US"/>
        </w:rPr>
        <w:t>This "data gap" is particularly acute in the private markets and venture capital. As software and autonomous systems become central to military capability, investors are calling for a shared "source of truth" to prevent due diligence work from being duplicated thousands of times across the industry.</w:t>
      </w:r>
    </w:p>
    <w:p w14:paraId="6009CC52" w14:textId="77777777" w:rsidR="00E254FD" w:rsidRPr="00E254FD" w:rsidRDefault="00E254FD" w:rsidP="00E254FD">
      <w:pPr>
        <w:rPr>
          <w:b/>
          <w:bCs/>
          <w:lang w:val="en-US"/>
        </w:rPr>
      </w:pPr>
      <w:r w:rsidRPr="00E254FD">
        <w:rPr>
          <w:b/>
          <w:bCs/>
          <w:lang w:val="en-US"/>
        </w:rPr>
        <w:t>4. The Path to Standardization: GRID</w:t>
      </w:r>
    </w:p>
    <w:p w14:paraId="72F05BB9" w14:textId="7A5C8AE9" w:rsidR="00E254FD" w:rsidRPr="00E254FD" w:rsidRDefault="00E254FD" w:rsidP="00E254FD">
      <w:pPr>
        <w:rPr>
          <w:lang w:val="en-US"/>
        </w:rPr>
      </w:pPr>
      <w:r w:rsidRPr="00E254FD">
        <w:rPr>
          <w:lang w:val="en-US"/>
        </w:rPr>
        <w:t xml:space="preserve">To bridge these gaps, the investor community is coalescing around the </w:t>
      </w:r>
      <w:r w:rsidRPr="00E254FD">
        <w:rPr>
          <w:b/>
          <w:bCs/>
          <w:lang w:val="en-US"/>
        </w:rPr>
        <w:t>GRID (Guidance for Responsible Investment in Defence)</w:t>
      </w:r>
      <w:r w:rsidRPr="00E254FD">
        <w:rPr>
          <w:lang w:val="en-US"/>
        </w:rPr>
        <w:t xml:space="preserve"> framework. Led by major stewards including the Church Commissioners for England, GRID is set to become the technical standard for identifying and mitigating sector-specific risks. With a launch targeted for </w:t>
      </w:r>
      <w:r w:rsidR="00AD305E">
        <w:rPr>
          <w:lang w:val="en-US"/>
        </w:rPr>
        <w:t>Novem</w:t>
      </w:r>
      <w:r w:rsidRPr="00E254FD">
        <w:rPr>
          <w:lang w:val="en-US"/>
        </w:rPr>
        <w:t>ber, it provides the roadmap for what "responsible" actually looks like in practice.</w:t>
      </w:r>
    </w:p>
    <w:p w14:paraId="09FBC4AB" w14:textId="77777777" w:rsidR="00E254FD" w:rsidRPr="00E254FD" w:rsidRDefault="00DA3686" w:rsidP="00E254FD">
      <w:r>
        <w:pict w14:anchorId="499DE264">
          <v:rect id="_x0000_i1026" style="width:0;height:1.5pt" o:hralign="center" o:hrstd="t" o:hrnoshade="t" o:hr="t" fillcolor="gray" stroked="f"/>
        </w:pict>
      </w:r>
    </w:p>
    <w:p w14:paraId="1AB47C5C" w14:textId="77777777" w:rsidR="00E254FD" w:rsidRPr="00E254FD" w:rsidRDefault="00E254FD" w:rsidP="00E254FD">
      <w:pPr>
        <w:rPr>
          <w:b/>
          <w:bCs/>
          <w:lang w:val="en-US"/>
        </w:rPr>
      </w:pPr>
      <w:r w:rsidRPr="00E254FD">
        <w:rPr>
          <w:b/>
          <w:bCs/>
          <w:lang w:val="en-US"/>
        </w:rPr>
        <w:t>Taking Action: The GAA Collaborative Engagement Sprint</w:t>
      </w:r>
    </w:p>
    <w:p w14:paraId="19139DA8" w14:textId="77777777" w:rsidR="00E254FD" w:rsidRPr="00E254FD" w:rsidRDefault="00E254FD" w:rsidP="00E254FD">
      <w:pPr>
        <w:rPr>
          <w:lang w:val="en-US"/>
        </w:rPr>
      </w:pPr>
      <w:r w:rsidRPr="00E254FD">
        <w:rPr>
          <w:lang w:val="en-US"/>
        </w:rPr>
        <w:t xml:space="preserve">The current "wait and see" period for defence investment is over. As share prices remain high and geopolitical tensions persist, the risk of "uninformed" investment is growing. To help our members navigate this complexity, the </w:t>
      </w:r>
      <w:r w:rsidRPr="00E254FD">
        <w:rPr>
          <w:b/>
          <w:bCs/>
          <w:lang w:val="en-US"/>
        </w:rPr>
        <w:t>Global Advisory Alliance (GAA)</w:t>
      </w:r>
      <w:r w:rsidRPr="00E254FD">
        <w:rPr>
          <w:lang w:val="en-US"/>
        </w:rPr>
        <w:t xml:space="preserve"> is launching a </w:t>
      </w:r>
      <w:r w:rsidRPr="00E254FD">
        <w:rPr>
          <w:b/>
          <w:bCs/>
          <w:lang w:val="en-US"/>
        </w:rPr>
        <w:t>6-week Collaborative Engagement Sprint</w:t>
      </w:r>
      <w:r w:rsidRPr="00E254FD">
        <w:rPr>
          <w:lang w:val="en-US"/>
        </w:rPr>
        <w:t xml:space="preserve"> starting this September.</w:t>
      </w:r>
    </w:p>
    <w:p w14:paraId="2093ED68" w14:textId="77777777" w:rsidR="00E254FD" w:rsidRPr="00E254FD" w:rsidRDefault="00E254FD" w:rsidP="00E254FD">
      <w:pPr>
        <w:rPr>
          <w:lang w:val="en-US"/>
        </w:rPr>
      </w:pPr>
      <w:r w:rsidRPr="00E254FD">
        <w:rPr>
          <w:lang w:val="en-US"/>
        </w:rPr>
        <w:t xml:space="preserve">This is not a talking shop; it is a high-intensity working group designed to produce an </w:t>
      </w:r>
      <w:r w:rsidRPr="00E254FD">
        <w:rPr>
          <w:b/>
          <w:bCs/>
          <w:lang w:val="en-US"/>
        </w:rPr>
        <w:t>"audit-ready" trail of due diligence</w:t>
      </w:r>
      <w:r w:rsidRPr="00E254FD">
        <w:rPr>
          <w:lang w:val="en-US"/>
        </w:rPr>
        <w:t xml:space="preserve"> for participating investors.</w:t>
      </w:r>
    </w:p>
    <w:p w14:paraId="66076B2C" w14:textId="77777777" w:rsidR="00E254FD" w:rsidRPr="00E254FD" w:rsidRDefault="00E254FD" w:rsidP="00E254FD">
      <w:pPr>
        <w:rPr>
          <w:b/>
          <w:bCs/>
        </w:rPr>
      </w:pPr>
      <w:r w:rsidRPr="00E254FD">
        <w:rPr>
          <w:b/>
          <w:bCs/>
        </w:rPr>
        <w:t>Why Join the Sprint?</w:t>
      </w:r>
    </w:p>
    <w:p w14:paraId="45A76042" w14:textId="77777777" w:rsidR="00E254FD" w:rsidRPr="00E254FD" w:rsidRDefault="00E254FD" w:rsidP="00E254FD">
      <w:pPr>
        <w:numPr>
          <w:ilvl w:val="0"/>
          <w:numId w:val="3"/>
        </w:numPr>
        <w:rPr>
          <w:lang w:val="en-US"/>
        </w:rPr>
      </w:pPr>
      <w:r w:rsidRPr="00E254FD">
        <w:rPr>
          <w:b/>
          <w:bCs/>
          <w:lang w:val="en-US"/>
        </w:rPr>
        <w:t>Collective Leverage:</w:t>
      </w:r>
      <w:r w:rsidRPr="00E254FD">
        <w:rPr>
          <w:lang w:val="en-US"/>
        </w:rPr>
        <w:t xml:space="preserve"> We are convening a focused cohort of </w:t>
      </w:r>
      <w:r w:rsidRPr="00E254FD">
        <w:rPr>
          <w:b/>
          <w:bCs/>
          <w:lang w:val="en-US"/>
        </w:rPr>
        <w:t>10–15 institutional investors</w:t>
      </w:r>
      <w:r w:rsidRPr="00E254FD">
        <w:rPr>
          <w:lang w:val="en-US"/>
        </w:rPr>
        <w:t xml:space="preserve"> to pool resources and present a unified voice to Tier-1 defence boards and ESG data providers.</w:t>
      </w:r>
    </w:p>
    <w:p w14:paraId="4124A5AF" w14:textId="77777777" w:rsidR="00E254FD" w:rsidRPr="00E254FD" w:rsidRDefault="00E254FD" w:rsidP="00E254FD">
      <w:pPr>
        <w:numPr>
          <w:ilvl w:val="0"/>
          <w:numId w:val="3"/>
        </w:numPr>
        <w:rPr>
          <w:lang w:val="en-US"/>
        </w:rPr>
      </w:pPr>
      <w:r w:rsidRPr="00E254FD">
        <w:rPr>
          <w:b/>
          <w:bCs/>
          <w:lang w:val="en-US"/>
        </w:rPr>
        <w:t>Shared Intelligence:</w:t>
      </w:r>
      <w:r w:rsidRPr="00E254FD">
        <w:rPr>
          <w:lang w:val="en-US"/>
        </w:rPr>
        <w:t xml:space="preserve"> Access expert analysis on IHL and CSDDD alignment, reducing the internal resource burden on your ESG and compliance teams.</w:t>
      </w:r>
    </w:p>
    <w:p w14:paraId="35F4FF05" w14:textId="77777777" w:rsidR="00E254FD" w:rsidRPr="00E254FD" w:rsidRDefault="00E254FD" w:rsidP="00E254FD">
      <w:pPr>
        <w:numPr>
          <w:ilvl w:val="0"/>
          <w:numId w:val="3"/>
        </w:numPr>
        <w:rPr>
          <w:lang w:val="en-US"/>
        </w:rPr>
      </w:pPr>
      <w:r w:rsidRPr="00E254FD">
        <w:rPr>
          <w:b/>
          <w:bCs/>
          <w:lang w:val="en-US"/>
        </w:rPr>
        <w:lastRenderedPageBreak/>
        <w:t>Streamlined Coordination:</w:t>
      </w:r>
      <w:r w:rsidRPr="00E254FD">
        <w:rPr>
          <w:lang w:val="en-US"/>
        </w:rPr>
        <w:t xml:space="preserve"> All engagement, research, and documentation will be housed in the </w:t>
      </w:r>
      <w:r w:rsidRPr="00E254FD">
        <w:rPr>
          <w:b/>
          <w:bCs/>
          <w:lang w:val="en-US"/>
        </w:rPr>
        <w:t>GAA Portal</w:t>
      </w:r>
      <w:r w:rsidRPr="00E254FD">
        <w:rPr>
          <w:lang w:val="en-US"/>
        </w:rPr>
        <w:t>, utilizing our centralized CRM and shared drive to ensure a systematic, defensible stewardship record.</w:t>
      </w:r>
    </w:p>
    <w:p w14:paraId="12E8317F" w14:textId="77777777" w:rsidR="00E254FD" w:rsidRPr="00E254FD" w:rsidRDefault="00E254FD" w:rsidP="00E254FD">
      <w:pPr>
        <w:numPr>
          <w:ilvl w:val="0"/>
          <w:numId w:val="3"/>
        </w:numPr>
        <w:rPr>
          <w:lang w:val="en-US"/>
        </w:rPr>
      </w:pPr>
      <w:r w:rsidRPr="00E254FD">
        <w:rPr>
          <w:b/>
          <w:bCs/>
          <w:lang w:val="en-US"/>
        </w:rPr>
        <w:t>Standardization:</w:t>
      </w:r>
      <w:r w:rsidRPr="00E254FD">
        <w:rPr>
          <w:lang w:val="en-US"/>
        </w:rPr>
        <w:t xml:space="preserve"> Use the power of the group to define shared expectations, rather than each firm "reinventing the wheel."</w:t>
      </w:r>
    </w:p>
    <w:p w14:paraId="70BF7DF8" w14:textId="77777777" w:rsidR="00E254FD" w:rsidRPr="00E254FD" w:rsidRDefault="00E254FD" w:rsidP="00E254FD">
      <w:pPr>
        <w:rPr>
          <w:b/>
          <w:bCs/>
        </w:rPr>
      </w:pPr>
      <w:r w:rsidRPr="00E254FD">
        <w:rPr>
          <w:b/>
          <w:bCs/>
        </w:rPr>
        <w:t>Participation Details</w:t>
      </w:r>
    </w:p>
    <w:p w14:paraId="7D509311" w14:textId="77777777" w:rsidR="00E254FD" w:rsidRPr="00E254FD" w:rsidRDefault="00E254FD" w:rsidP="00E254FD">
      <w:pPr>
        <w:numPr>
          <w:ilvl w:val="0"/>
          <w:numId w:val="4"/>
        </w:numPr>
        <w:rPr>
          <w:lang w:val="en-US"/>
        </w:rPr>
      </w:pPr>
      <w:r w:rsidRPr="00E254FD">
        <w:rPr>
          <w:b/>
          <w:bCs/>
          <w:lang w:val="en-US"/>
        </w:rPr>
        <w:t>Timeline:</w:t>
      </w:r>
      <w:r w:rsidRPr="00E254FD">
        <w:rPr>
          <w:lang w:val="en-US"/>
        </w:rPr>
        <w:t xml:space="preserve"> September – October (Execution phase)</w:t>
      </w:r>
    </w:p>
    <w:p w14:paraId="1726FCAC" w14:textId="77777777" w:rsidR="00E254FD" w:rsidRPr="00E254FD" w:rsidRDefault="00E254FD" w:rsidP="00E254FD">
      <w:pPr>
        <w:numPr>
          <w:ilvl w:val="0"/>
          <w:numId w:val="4"/>
        </w:numPr>
        <w:rPr>
          <w:lang w:val="en-US"/>
        </w:rPr>
      </w:pPr>
      <w:r w:rsidRPr="00E254FD">
        <w:rPr>
          <w:b/>
          <w:bCs/>
          <w:lang w:val="en-US"/>
        </w:rPr>
        <w:t>Capacity:</w:t>
      </w:r>
      <w:r w:rsidRPr="00E254FD">
        <w:rPr>
          <w:lang w:val="en-US"/>
        </w:rPr>
        <w:t xml:space="preserve"> Limited to 15 participating organizations to ensure high impact.</w:t>
      </w:r>
    </w:p>
    <w:p w14:paraId="4DB811F3" w14:textId="2D97349E" w:rsidR="00E254FD" w:rsidRPr="00E254FD" w:rsidRDefault="00E254FD" w:rsidP="00E254FD">
      <w:pPr>
        <w:numPr>
          <w:ilvl w:val="0"/>
          <w:numId w:val="4"/>
        </w:numPr>
        <w:rPr>
          <w:lang w:val="en-US"/>
        </w:rPr>
      </w:pPr>
      <w:r w:rsidRPr="00E254FD">
        <w:rPr>
          <w:b/>
          <w:bCs/>
          <w:lang w:val="en-US"/>
        </w:rPr>
        <w:t>Commitment:</w:t>
      </w:r>
      <w:r w:rsidRPr="00E254FD">
        <w:rPr>
          <w:lang w:val="en-US"/>
        </w:rPr>
        <w:t xml:space="preserve"> A shared participation fee of </w:t>
      </w:r>
      <w:r w:rsidRPr="00E254FD">
        <w:rPr>
          <w:b/>
          <w:bCs/>
          <w:lang w:val="en-US"/>
        </w:rPr>
        <w:t>£5,000</w:t>
      </w:r>
      <w:r w:rsidRPr="00E254FD">
        <w:rPr>
          <w:lang w:val="en-US"/>
        </w:rPr>
        <w:t xml:space="preserve"> to cover specialized research and administrative coordination.</w:t>
      </w:r>
    </w:p>
    <w:p w14:paraId="29956B59" w14:textId="77777777" w:rsidR="00E254FD" w:rsidRPr="00E254FD" w:rsidRDefault="00E254FD" w:rsidP="00E254FD">
      <w:pPr>
        <w:rPr>
          <w:lang w:val="en-US"/>
        </w:rPr>
      </w:pPr>
      <w:r w:rsidRPr="00E254FD">
        <w:rPr>
          <w:b/>
          <w:bCs/>
          <w:lang w:val="en-US"/>
        </w:rPr>
        <w:t>Secure Your Place:</w:t>
      </w:r>
    </w:p>
    <w:p w14:paraId="64440787" w14:textId="4EFA5652" w:rsidR="00E254FD" w:rsidRPr="00E254FD" w:rsidRDefault="00E254FD" w:rsidP="00E254FD">
      <w:pPr>
        <w:rPr>
          <w:lang w:val="en-US"/>
        </w:rPr>
      </w:pPr>
      <w:r w:rsidRPr="00E254FD">
        <w:rPr>
          <w:lang w:val="en-US"/>
        </w:rPr>
        <w:t xml:space="preserve">To maintain a high level of commitment and impact, participation will be selective. We invite interested asset owners and managers to express interest by </w:t>
      </w:r>
      <w:r w:rsidR="002B6C70">
        <w:rPr>
          <w:b/>
          <w:bCs/>
          <w:lang w:val="en-US"/>
        </w:rPr>
        <w:t>30. June 2026</w:t>
      </w:r>
      <w:r w:rsidRPr="00E254FD">
        <w:rPr>
          <w:lang w:val="en-US"/>
        </w:rPr>
        <w:t>.</w:t>
      </w:r>
    </w:p>
    <w:p w14:paraId="20E1A9DA" w14:textId="3524B0AD" w:rsidR="00E254FD" w:rsidRPr="00E254FD" w:rsidRDefault="00E254FD" w:rsidP="00E254FD">
      <w:pPr>
        <w:rPr>
          <w:lang w:val="en-US"/>
        </w:rPr>
      </w:pPr>
      <w:r w:rsidRPr="00E254FD">
        <w:rPr>
          <w:b/>
          <w:bCs/>
          <w:lang w:val="en-US"/>
        </w:rPr>
        <w:t xml:space="preserve">To request the full project prospectus or book a briefing, please contact </w:t>
      </w:r>
      <w:hyperlink r:id="rId5" w:history="1">
        <w:r w:rsidR="00E032B3" w:rsidRPr="007606C8">
          <w:rPr>
            <w:rStyle w:val="Hyperlinkki"/>
            <w:b/>
            <w:bCs/>
            <w:lang w:val="en-US"/>
          </w:rPr>
          <w:t>team@globaladvisoryalliance.com</w:t>
        </w:r>
      </w:hyperlink>
      <w:r w:rsidR="00E032B3">
        <w:rPr>
          <w:b/>
          <w:bCs/>
          <w:lang w:val="en-US"/>
        </w:rPr>
        <w:t xml:space="preserve"> </w:t>
      </w:r>
      <w:r w:rsidRPr="00E254FD">
        <w:rPr>
          <w:b/>
          <w:bCs/>
          <w:lang w:val="en-US"/>
        </w:rPr>
        <w:t>.</w:t>
      </w:r>
    </w:p>
    <w:p w14:paraId="2201428A" w14:textId="77777777" w:rsidR="0065333D" w:rsidRPr="00E254FD" w:rsidRDefault="0065333D">
      <w:pPr>
        <w:rPr>
          <w:lang w:val="en-US"/>
        </w:rPr>
      </w:pPr>
    </w:p>
    <w:sectPr w:rsidR="0065333D" w:rsidRPr="00E254FD">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AA4655"/>
    <w:multiLevelType w:val="multilevel"/>
    <w:tmpl w:val="023E4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35D1333"/>
    <w:multiLevelType w:val="multilevel"/>
    <w:tmpl w:val="8BA6D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C494DB7"/>
    <w:multiLevelType w:val="multilevel"/>
    <w:tmpl w:val="7A769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E2E2799"/>
    <w:multiLevelType w:val="multilevel"/>
    <w:tmpl w:val="C10C9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36413029">
    <w:abstractNumId w:val="3"/>
  </w:num>
  <w:num w:numId="2" w16cid:durableId="1748965054">
    <w:abstractNumId w:val="1"/>
  </w:num>
  <w:num w:numId="3" w16cid:durableId="363752169">
    <w:abstractNumId w:val="0"/>
  </w:num>
  <w:num w:numId="4" w16cid:durableId="15525783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4FD"/>
    <w:rsid w:val="00042F55"/>
    <w:rsid w:val="0027253B"/>
    <w:rsid w:val="002B6C70"/>
    <w:rsid w:val="0065333D"/>
    <w:rsid w:val="00A72018"/>
    <w:rsid w:val="00AD305E"/>
    <w:rsid w:val="00E032B3"/>
    <w:rsid w:val="00E254FD"/>
    <w:rsid w:val="00E55800"/>
    <w:rsid w:val="00EC0524"/>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9FFAC"/>
  <w15:chartTrackingRefBased/>
  <w15:docId w15:val="{57A210BC-D2A2-48B5-B4B9-FB5204EE8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i-F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E254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E254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E254FD"/>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E254FD"/>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E254FD"/>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E254FD"/>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E254FD"/>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E254FD"/>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E254FD"/>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E254FD"/>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E254FD"/>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E254FD"/>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E254FD"/>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E254FD"/>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E254FD"/>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E254FD"/>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E254FD"/>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E254FD"/>
    <w:rPr>
      <w:rFonts w:eastAsiaTheme="majorEastAsia" w:cstheme="majorBidi"/>
      <w:color w:val="272727" w:themeColor="text1" w:themeTint="D8"/>
    </w:rPr>
  </w:style>
  <w:style w:type="paragraph" w:styleId="Otsikko">
    <w:name w:val="Title"/>
    <w:basedOn w:val="Normaali"/>
    <w:next w:val="Normaali"/>
    <w:link w:val="OtsikkoChar"/>
    <w:uiPriority w:val="10"/>
    <w:qFormat/>
    <w:rsid w:val="00E254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E254FD"/>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E254FD"/>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E254FD"/>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E254FD"/>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E254FD"/>
    <w:rPr>
      <w:i/>
      <w:iCs/>
      <w:color w:val="404040" w:themeColor="text1" w:themeTint="BF"/>
    </w:rPr>
  </w:style>
  <w:style w:type="paragraph" w:styleId="Luettelokappale">
    <w:name w:val="List Paragraph"/>
    <w:basedOn w:val="Normaali"/>
    <w:uiPriority w:val="34"/>
    <w:qFormat/>
    <w:rsid w:val="00E254FD"/>
    <w:pPr>
      <w:ind w:left="720"/>
      <w:contextualSpacing/>
    </w:pPr>
  </w:style>
  <w:style w:type="character" w:styleId="Voimakaskorostus">
    <w:name w:val="Intense Emphasis"/>
    <w:basedOn w:val="Kappaleenoletusfontti"/>
    <w:uiPriority w:val="21"/>
    <w:qFormat/>
    <w:rsid w:val="00E254FD"/>
    <w:rPr>
      <w:i/>
      <w:iCs/>
      <w:color w:val="0F4761" w:themeColor="accent1" w:themeShade="BF"/>
    </w:rPr>
  </w:style>
  <w:style w:type="paragraph" w:styleId="Erottuvalainaus">
    <w:name w:val="Intense Quote"/>
    <w:basedOn w:val="Normaali"/>
    <w:next w:val="Normaali"/>
    <w:link w:val="ErottuvalainausChar"/>
    <w:uiPriority w:val="30"/>
    <w:qFormat/>
    <w:rsid w:val="00E254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E254FD"/>
    <w:rPr>
      <w:i/>
      <w:iCs/>
      <w:color w:val="0F4761" w:themeColor="accent1" w:themeShade="BF"/>
    </w:rPr>
  </w:style>
  <w:style w:type="character" w:styleId="Erottuvaviittaus">
    <w:name w:val="Intense Reference"/>
    <w:basedOn w:val="Kappaleenoletusfontti"/>
    <w:uiPriority w:val="32"/>
    <w:qFormat/>
    <w:rsid w:val="00E254FD"/>
    <w:rPr>
      <w:b/>
      <w:bCs/>
      <w:smallCaps/>
      <w:color w:val="0F4761" w:themeColor="accent1" w:themeShade="BF"/>
      <w:spacing w:val="5"/>
    </w:rPr>
  </w:style>
  <w:style w:type="character" w:styleId="Hyperlinkki">
    <w:name w:val="Hyperlink"/>
    <w:basedOn w:val="Kappaleenoletusfontti"/>
    <w:uiPriority w:val="99"/>
    <w:unhideWhenUsed/>
    <w:rsid w:val="00E032B3"/>
    <w:rPr>
      <w:color w:val="467886" w:themeColor="hyperlink"/>
      <w:u w:val="single"/>
    </w:rPr>
  </w:style>
  <w:style w:type="character" w:styleId="Ratkaisematonmaininta">
    <w:name w:val="Unresolved Mention"/>
    <w:basedOn w:val="Kappaleenoletusfontti"/>
    <w:uiPriority w:val="99"/>
    <w:semiHidden/>
    <w:unhideWhenUsed/>
    <w:rsid w:val="00E032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team@globaladvisoryalliance.com" TargetMode="External"/><Relationship Id="rId4" Type="http://schemas.openxmlformats.org/officeDocument/2006/relationships/webSettings" Target="web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605</Words>
  <Characters>4905</Characters>
  <Application>Microsoft Office Word</Application>
  <DocSecurity>0</DocSecurity>
  <Lines>40</Lines>
  <Paragraphs>10</Paragraphs>
  <ScaleCrop>false</ScaleCrop>
  <Company/>
  <LinksUpToDate>false</LinksUpToDate>
  <CharactersWithSpaces>5500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Anna-Stina Wiklund</dc:creator>
  <cp:keywords/>
  <dc:description/>
  <cp:lastModifiedBy>Anna-Stina Wiklund</cp:lastModifiedBy>
  <cp:revision>5</cp:revision>
  <dcterms:created xsi:type="dcterms:W3CDTF">2026-05-08T04:17:00Z</dcterms:created>
  <dcterms:modified xsi:type="dcterms:W3CDTF">2026-05-21T13:27:00Z</dcterms:modified>
</cp:coreProperties>
</file>